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网络设备</w:t>
      </w:r>
      <w:r>
        <w:rPr>
          <w:rFonts w:hint="eastAsia"/>
          <w:lang w:val="en-US" w:eastAsia="zh-CN"/>
        </w:rPr>
        <w:t>评分要点</w:t>
      </w:r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BB-VSU-S6000#show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BB-VSU-S6000#show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BB-VSU-S6000#show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BB-VSU-S6000#show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BB-VSU-S6000#show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GZFB-S5750-01#show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GZFB-S5750-01#show ipv6 interface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GZFB-S5750-01#show ipv6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GZFB-S5750-02#show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GZFB-S5750-02#show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JLFB-S5750-01#show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GZFB-S2910-1#show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GZFB-S2910-1#show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GZFB-S2910-1#show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GZFB-S2910-1#show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GZFB-S2910-1#show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BB-S2910-1#show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ISP-RSR20-02#show run | include </w:t>
            </w:r>
            <w:r>
              <w:rPr>
                <w:rFonts w:hint="eastAsia" w:ascii="仿宋" w:hAnsi="仿宋" w:eastAsia="仿宋"/>
              </w:rPr>
              <w:t>pass</w:t>
            </w:r>
            <w:r>
              <w:rPr>
                <w:rFonts w:ascii="仿宋" w:hAnsi="仿宋" w:eastAsia="仿宋"/>
              </w:rPr>
              <w:t xml:space="preserve">word  、ISP-RSR20-02#show run | begin line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GZFB-EG2000-01#show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GZFB-EG2000-01#show content-policy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GZFB-EG2000-01#show url-class user-cfg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GZFB-EG2000-01#show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GZFB-EG2000-01#show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GZFB-EG2000-01#show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JLFB-EG2000-01#show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JLFB-EG2000-01#show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JLFB-EG2000-01#show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JLFB-EG2000-01#show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 xml:space="preserve">JLFB-EG2000-01#show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 xml:space="preserve">JLFB-EG2000-01#show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BB-WS6008-01#show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BB-WS6008-02#show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BB-WS6008-02#show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BB-WS6008-02#sh run | include 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color w:val="5B9BD5" w:themeColor="accent1"/>
                <w14:textFill>
                  <w14:solidFill>
                    <w14:schemeClr w14:val="accent1"/>
                  </w14:solidFill>
                </w14:textFill>
              </w:rPr>
              <w:t>BB-WS6008-02#show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1DC15197"/>
    <w:rsid w:val="201C568A"/>
    <w:rsid w:val="35AA2B00"/>
    <w:rsid w:val="3C0F4C8F"/>
    <w:rsid w:val="3D6D11F5"/>
    <w:rsid w:val="59D737F9"/>
    <w:rsid w:val="6F2C1F9C"/>
    <w:rsid w:val="70DC11FA"/>
    <w:rsid w:val="747E697F"/>
    <w:rsid w:val="78E1234D"/>
    <w:rsid w:val="7CD80BBA"/>
    <w:rsid w:val="7D7946E1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2021-03-17T15:28:44Z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